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0B2" w:rsidRPr="0016122D" w:rsidRDefault="001C42C0" w:rsidP="00F304D0">
      <w:pPr>
        <w:pStyle w:val="Antrat1"/>
        <w:jc w:val="center"/>
      </w:pPr>
      <w:r w:rsidRPr="001C42C0">
        <w:t>Elek</w:t>
      </w:r>
      <w:r w:rsidRPr="0016122D">
        <w:t>trėnų mariose (</w:t>
      </w:r>
      <w:proofErr w:type="spellStart"/>
      <w:r w:rsidRPr="0016122D">
        <w:t>Pastrėvio</w:t>
      </w:r>
      <w:proofErr w:type="spellEnd"/>
      <w:r w:rsidRPr="0016122D">
        <w:t xml:space="preserve"> maudykloje) maudytis nerekomenduojama</w:t>
      </w:r>
    </w:p>
    <w:p w:rsidR="0016122D" w:rsidRPr="00F304D0" w:rsidRDefault="0016122D" w:rsidP="0016122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6122D" w:rsidRPr="0016122D" w:rsidRDefault="0016122D" w:rsidP="0016122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</w:p>
    <w:p w:rsidR="00C94527" w:rsidRPr="0016122D" w:rsidRDefault="00D170B2" w:rsidP="0016122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6122D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C94527" w:rsidRPr="0016122D">
        <w:rPr>
          <w:rFonts w:ascii="Times New Roman" w:hAnsi="Times New Roman" w:cs="Times New Roman"/>
          <w:sz w:val="24"/>
          <w:szCs w:val="24"/>
        </w:rPr>
        <w:t xml:space="preserve">Elektrėnų savivaldybės administracija, atsižvelgdama į </w:t>
      </w:r>
      <w:r w:rsidR="00C94527" w:rsidRPr="001612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2019 m. rugpjūčio 9 d. </w:t>
      </w:r>
      <w:r w:rsidR="00C94527" w:rsidRPr="0016122D">
        <w:rPr>
          <w:rFonts w:ascii="Times New Roman" w:hAnsi="Times New Roman" w:cs="Times New Roman"/>
          <w:sz w:val="24"/>
          <w:szCs w:val="24"/>
        </w:rPr>
        <w:t xml:space="preserve">Nacionalinės visuomenės sveikatos priežiūros laboratorijos pateiktus stebimų Elektrėnų savivaldybės maudyklų vandens tyrimų protokolų duomenis, informuoja, kad </w:t>
      </w:r>
      <w:r w:rsidR="00C94527" w:rsidRPr="0016122D">
        <w:rPr>
          <w:rFonts w:ascii="Times New Roman" w:hAnsi="Times New Roman" w:cs="Times New Roman"/>
          <w:b/>
          <w:bCs/>
          <w:sz w:val="24"/>
          <w:szCs w:val="24"/>
        </w:rPr>
        <w:t>Elektrėnų mariose,</w:t>
      </w:r>
      <w:r w:rsidR="00C94527" w:rsidRPr="00161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527" w:rsidRPr="0016122D">
        <w:rPr>
          <w:rFonts w:ascii="Times New Roman" w:hAnsi="Times New Roman" w:cs="Times New Roman"/>
          <w:b/>
          <w:bCs/>
          <w:sz w:val="24"/>
          <w:szCs w:val="24"/>
        </w:rPr>
        <w:t>Pastrėvio</w:t>
      </w:r>
      <w:proofErr w:type="spellEnd"/>
      <w:r w:rsidR="00C94527" w:rsidRPr="0016122D">
        <w:rPr>
          <w:rFonts w:ascii="Times New Roman" w:hAnsi="Times New Roman" w:cs="Times New Roman"/>
          <w:b/>
          <w:bCs/>
          <w:sz w:val="24"/>
          <w:szCs w:val="24"/>
        </w:rPr>
        <w:t xml:space="preserve"> maudykloje maudytis nerekomenduojama,</w:t>
      </w:r>
      <w:r w:rsidR="00C94527" w:rsidRPr="0016122D">
        <w:rPr>
          <w:rFonts w:ascii="Times New Roman" w:hAnsi="Times New Roman" w:cs="Times New Roman"/>
          <w:sz w:val="24"/>
          <w:szCs w:val="24"/>
        </w:rPr>
        <w:t xml:space="preserve"> nes šios maudyklos vanduo neatitinka „Paplūdimiai ir jų maudyklų vandens kokybė“ nustatytų  mikrobiologinių parametrų reikšmių</w:t>
      </w:r>
      <w:r w:rsidR="001C42C0" w:rsidRPr="0016122D">
        <w:rPr>
          <w:rFonts w:ascii="Times New Roman" w:hAnsi="Times New Roman" w:cs="Times New Roman"/>
          <w:sz w:val="24"/>
          <w:szCs w:val="24"/>
        </w:rPr>
        <w:t xml:space="preserve">. Atsižvelgiant į Lietuvos Respublikos higienos normos reikalavimus, žarninių </w:t>
      </w:r>
      <w:proofErr w:type="spellStart"/>
      <w:r w:rsidR="001C42C0" w:rsidRPr="0016122D">
        <w:rPr>
          <w:rFonts w:ascii="Times New Roman" w:hAnsi="Times New Roman" w:cs="Times New Roman"/>
          <w:sz w:val="24"/>
          <w:szCs w:val="24"/>
        </w:rPr>
        <w:t>enterokokų</w:t>
      </w:r>
      <w:proofErr w:type="spellEnd"/>
      <w:r w:rsidR="001C42C0" w:rsidRPr="0016122D">
        <w:rPr>
          <w:rFonts w:ascii="Times New Roman" w:hAnsi="Times New Roman" w:cs="Times New Roman"/>
          <w:sz w:val="24"/>
          <w:szCs w:val="24"/>
        </w:rPr>
        <w:t xml:space="preserve"> turi būti ne daugiau kaip 100 kolonijas sudarančių vienetų (KSV) 100 ml vandens, o žarninių lazdelių ‒ ne daugiau kaip 1000/100 ml vandens. </w:t>
      </w:r>
      <w:r w:rsidR="00C94527" w:rsidRPr="00C9452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Maudytis </w:t>
      </w:r>
      <w:r w:rsidR="001C42C0" w:rsidRPr="0016122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Elektrėnų mariose prie </w:t>
      </w:r>
      <w:proofErr w:type="spellStart"/>
      <w:r w:rsidR="001C42C0" w:rsidRPr="0016122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Pastrėvio</w:t>
      </w:r>
      <w:proofErr w:type="spellEnd"/>
      <w:r w:rsidR="001C42C0" w:rsidRPr="0016122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C94527" w:rsidRPr="00C9452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nerekomenduojama</w:t>
      </w:r>
      <w:r w:rsidR="00C94527" w:rsidRPr="00C9452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iki pakartotinių vandens tyrimų rezultatų, apie kuriuos bus informuota visuomenė, gavimo.</w:t>
      </w:r>
      <w:r w:rsidR="001C42C0" w:rsidRPr="001612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C94527" w:rsidRPr="00C94527" w:rsidRDefault="00C94527" w:rsidP="001C42C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6122D">
        <w:rPr>
          <w:rFonts w:ascii="Times New Roman" w:hAnsi="Times New Roman" w:cs="Times New Roman"/>
          <w:sz w:val="24"/>
          <w:szCs w:val="24"/>
        </w:rPr>
        <w:t xml:space="preserve">Visų kitų Elektrėnų savivaldybėje stebimų maudyklų: </w:t>
      </w:r>
      <w:r w:rsidRPr="001612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Elektrėnų marių (Elektrėnų m. maudyklos, </w:t>
      </w:r>
      <w:proofErr w:type="spellStart"/>
      <w:r w:rsidRPr="0016122D">
        <w:rPr>
          <w:rFonts w:ascii="Times New Roman" w:eastAsia="Times New Roman" w:hAnsi="Times New Roman" w:cs="Times New Roman"/>
          <w:sz w:val="24"/>
          <w:szCs w:val="24"/>
          <w:lang w:eastAsia="lt-LT"/>
        </w:rPr>
        <w:t>Mažiklės</w:t>
      </w:r>
      <w:proofErr w:type="spellEnd"/>
      <w:r w:rsidRPr="001612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pusiasalio), Vievio (Vievio m. ir Pylimų k. poilsio zonose), </w:t>
      </w:r>
      <w:proofErr w:type="spellStart"/>
      <w:r w:rsidRPr="0016122D">
        <w:rPr>
          <w:rFonts w:ascii="Times New Roman" w:eastAsia="Times New Roman" w:hAnsi="Times New Roman" w:cs="Times New Roman"/>
          <w:sz w:val="24"/>
          <w:szCs w:val="24"/>
          <w:lang w:eastAsia="lt-LT"/>
        </w:rPr>
        <w:t>Aujėdo</w:t>
      </w:r>
      <w:proofErr w:type="spellEnd"/>
      <w:r w:rsidRPr="001612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(Kietaviškių poilsio zona) ir </w:t>
      </w:r>
      <w:proofErr w:type="spellStart"/>
      <w:r w:rsidRPr="0016122D">
        <w:rPr>
          <w:rFonts w:ascii="Times New Roman" w:eastAsia="Times New Roman" w:hAnsi="Times New Roman" w:cs="Times New Roman"/>
          <w:sz w:val="24"/>
          <w:szCs w:val="24"/>
          <w:lang w:eastAsia="lt-LT"/>
        </w:rPr>
        <w:t>Nestrėvaičio</w:t>
      </w:r>
      <w:proofErr w:type="spellEnd"/>
      <w:r w:rsidRPr="001612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(Semeliškių poilsio zona) ežerų </w:t>
      </w:r>
      <w:r w:rsidRPr="0016122D">
        <w:rPr>
          <w:rFonts w:ascii="Times New Roman" w:hAnsi="Times New Roman" w:cs="Times New Roman"/>
          <w:sz w:val="24"/>
          <w:szCs w:val="24"/>
        </w:rPr>
        <w:t>vanduo yra švarus ir atitinka kokybės reikalavimus.</w:t>
      </w:r>
      <w:r w:rsidRPr="00C9452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D170B2" w:rsidRPr="0016122D" w:rsidRDefault="00D170B2" w:rsidP="00D170B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7"/>
        <w:gridCol w:w="1363"/>
        <w:gridCol w:w="1756"/>
        <w:gridCol w:w="2122"/>
      </w:tblGrid>
      <w:tr w:rsidR="00D170B2" w:rsidRPr="0016122D" w:rsidTr="0016122D">
        <w:trPr>
          <w:trHeight w:val="311"/>
        </w:trPr>
        <w:tc>
          <w:tcPr>
            <w:tcW w:w="2278" w:type="pct"/>
            <w:vMerge w:val="restart"/>
            <w:shd w:val="clear" w:color="auto" w:fill="auto"/>
            <w:vAlign w:val="center"/>
            <w:hideMark/>
          </w:tcPr>
          <w:p w:rsidR="00D170B2" w:rsidRPr="0016122D" w:rsidRDefault="00D170B2" w:rsidP="00824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22D">
              <w:rPr>
                <w:rFonts w:ascii="Times New Roman" w:hAnsi="Times New Roman" w:cs="Times New Roman"/>
                <w:b/>
              </w:rPr>
              <w:tab/>
            </w:r>
          </w:p>
          <w:p w:rsidR="00D170B2" w:rsidRPr="0016122D" w:rsidRDefault="00D170B2" w:rsidP="0082435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6122D">
              <w:rPr>
                <w:rFonts w:ascii="Times New Roman" w:hAnsi="Times New Roman" w:cs="Times New Roman"/>
                <w:lang w:eastAsia="lt-LT"/>
              </w:rPr>
              <w:t xml:space="preserve">Maudyklos pavadinimas </w:t>
            </w:r>
          </w:p>
        </w:tc>
        <w:tc>
          <w:tcPr>
            <w:tcW w:w="1620" w:type="pct"/>
            <w:gridSpan w:val="2"/>
            <w:shd w:val="clear" w:color="auto" w:fill="auto"/>
            <w:noWrap/>
            <w:vAlign w:val="center"/>
            <w:hideMark/>
          </w:tcPr>
          <w:p w:rsidR="00D170B2" w:rsidRPr="0016122D" w:rsidRDefault="00D170B2" w:rsidP="0082435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6122D">
              <w:rPr>
                <w:rFonts w:ascii="Times New Roman" w:hAnsi="Times New Roman" w:cs="Times New Roman"/>
                <w:lang w:eastAsia="lt-LT"/>
              </w:rPr>
              <w:t>Mikrobiologiniai parametrai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:rsidR="00D170B2" w:rsidRPr="0016122D" w:rsidRDefault="00D170B2" w:rsidP="0082435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6122D">
              <w:rPr>
                <w:rFonts w:ascii="Times New Roman" w:hAnsi="Times New Roman" w:cs="Times New Roman"/>
                <w:lang w:eastAsia="lt-LT"/>
              </w:rPr>
              <w:t> </w:t>
            </w:r>
          </w:p>
        </w:tc>
      </w:tr>
      <w:tr w:rsidR="00D170B2" w:rsidRPr="0016122D" w:rsidTr="0016122D">
        <w:trPr>
          <w:trHeight w:val="1396"/>
        </w:trPr>
        <w:tc>
          <w:tcPr>
            <w:tcW w:w="2278" w:type="pct"/>
            <w:vMerge/>
            <w:vAlign w:val="center"/>
            <w:hideMark/>
          </w:tcPr>
          <w:p w:rsidR="00D170B2" w:rsidRPr="0016122D" w:rsidRDefault="00D170B2" w:rsidP="00824356">
            <w:pPr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170B2" w:rsidRPr="0016122D" w:rsidRDefault="00D170B2" w:rsidP="0082435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6122D">
              <w:rPr>
                <w:rFonts w:ascii="Times New Roman" w:hAnsi="Times New Roman" w:cs="Times New Roman"/>
                <w:lang w:eastAsia="lt-LT"/>
              </w:rPr>
              <w:t xml:space="preserve">Žarniniai </w:t>
            </w:r>
            <w:proofErr w:type="spellStart"/>
            <w:r w:rsidRPr="0016122D">
              <w:rPr>
                <w:rFonts w:ascii="Times New Roman" w:hAnsi="Times New Roman" w:cs="Times New Roman"/>
                <w:lang w:eastAsia="lt-LT"/>
              </w:rPr>
              <w:t>enterokokai</w:t>
            </w:r>
            <w:proofErr w:type="spellEnd"/>
            <w:r w:rsidRPr="0016122D">
              <w:rPr>
                <w:rFonts w:ascii="Times New Roman" w:hAnsi="Times New Roman" w:cs="Times New Roman"/>
                <w:lang w:eastAsia="lt-LT"/>
              </w:rPr>
              <w:t xml:space="preserve"> (</w:t>
            </w:r>
            <w:proofErr w:type="spellStart"/>
            <w:r w:rsidRPr="0016122D">
              <w:rPr>
                <w:rFonts w:ascii="Times New Roman" w:hAnsi="Times New Roman" w:cs="Times New Roman"/>
                <w:lang w:eastAsia="lt-LT"/>
              </w:rPr>
              <w:t>ksv</w:t>
            </w:r>
            <w:proofErr w:type="spellEnd"/>
            <w:r w:rsidRPr="0016122D">
              <w:rPr>
                <w:rFonts w:ascii="Times New Roman" w:hAnsi="Times New Roman" w:cs="Times New Roman"/>
                <w:lang w:eastAsia="lt-LT"/>
              </w:rPr>
              <w:t xml:space="preserve">/100 ml) 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D170B2" w:rsidRPr="0016122D" w:rsidRDefault="00D170B2" w:rsidP="0082435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6122D">
              <w:rPr>
                <w:rFonts w:ascii="Times New Roman" w:hAnsi="Times New Roman" w:cs="Times New Roman"/>
                <w:lang w:eastAsia="lt-LT"/>
              </w:rPr>
              <w:t>Žarninės lazdelės (</w:t>
            </w:r>
            <w:proofErr w:type="spellStart"/>
            <w:r w:rsidRPr="0016122D">
              <w:rPr>
                <w:rFonts w:ascii="Times New Roman" w:hAnsi="Times New Roman" w:cs="Times New Roman"/>
                <w:lang w:eastAsia="lt-LT"/>
              </w:rPr>
              <w:t>ksv</w:t>
            </w:r>
            <w:proofErr w:type="spellEnd"/>
            <w:r w:rsidRPr="0016122D">
              <w:rPr>
                <w:rFonts w:ascii="Times New Roman" w:hAnsi="Times New Roman" w:cs="Times New Roman"/>
                <w:lang w:eastAsia="lt-LT"/>
              </w:rPr>
              <w:t>/100 ml)</w:t>
            </w:r>
          </w:p>
        </w:tc>
        <w:tc>
          <w:tcPr>
            <w:tcW w:w="1102" w:type="pct"/>
            <w:shd w:val="clear" w:color="auto" w:fill="auto"/>
            <w:vAlign w:val="center"/>
            <w:hideMark/>
          </w:tcPr>
          <w:p w:rsidR="00D170B2" w:rsidRPr="0016122D" w:rsidRDefault="00D170B2" w:rsidP="0082435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6122D">
              <w:rPr>
                <w:rFonts w:ascii="Times New Roman" w:hAnsi="Times New Roman" w:cs="Times New Roman"/>
                <w:lang w:eastAsia="lt-LT"/>
              </w:rPr>
              <w:t>Nuolaužos, plūduriuojančios medžiagos, dervų likučiai, stiklas, plastikas, guma</w:t>
            </w:r>
          </w:p>
        </w:tc>
      </w:tr>
      <w:tr w:rsidR="00D170B2" w:rsidRPr="0016122D" w:rsidTr="0016122D">
        <w:trPr>
          <w:trHeight w:val="559"/>
        </w:trPr>
        <w:tc>
          <w:tcPr>
            <w:tcW w:w="2278" w:type="pct"/>
            <w:shd w:val="clear" w:color="auto" w:fill="auto"/>
            <w:hideMark/>
          </w:tcPr>
          <w:p w:rsidR="00D170B2" w:rsidRPr="0016122D" w:rsidRDefault="00D170B2" w:rsidP="00824356">
            <w:pPr>
              <w:rPr>
                <w:rFonts w:ascii="Times New Roman" w:hAnsi="Times New Roman" w:cs="Times New Roman"/>
                <w:lang w:eastAsia="lt-LT"/>
              </w:rPr>
            </w:pPr>
            <w:r w:rsidRPr="0016122D">
              <w:rPr>
                <w:rFonts w:ascii="Times New Roman" w:hAnsi="Times New Roman" w:cs="Times New Roman"/>
                <w:lang w:eastAsia="lt-LT"/>
              </w:rPr>
              <w:t>Elektrėnų miesto maudykla (Elektrėnų marios)</w:t>
            </w:r>
          </w:p>
        </w:tc>
        <w:tc>
          <w:tcPr>
            <w:tcW w:w="708" w:type="pct"/>
            <w:shd w:val="clear" w:color="auto" w:fill="auto"/>
            <w:noWrap/>
          </w:tcPr>
          <w:p w:rsidR="00D170B2" w:rsidRPr="0016122D" w:rsidRDefault="00D170B2" w:rsidP="0082435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6122D">
              <w:rPr>
                <w:rFonts w:ascii="Times New Roman" w:hAnsi="Times New Roman" w:cs="Times New Roman"/>
                <w:lang w:eastAsia="lt-LT"/>
              </w:rPr>
              <w:t>64±23</w:t>
            </w:r>
          </w:p>
        </w:tc>
        <w:tc>
          <w:tcPr>
            <w:tcW w:w="912" w:type="pct"/>
            <w:shd w:val="clear" w:color="auto" w:fill="auto"/>
            <w:noWrap/>
          </w:tcPr>
          <w:p w:rsidR="00D170B2" w:rsidRPr="0016122D" w:rsidRDefault="00D170B2" w:rsidP="0082435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6122D">
              <w:rPr>
                <w:rFonts w:ascii="Times New Roman" w:hAnsi="Times New Roman" w:cs="Times New Roman"/>
                <w:lang w:eastAsia="lt-LT"/>
              </w:rPr>
              <w:t>49,6 (34,4-68,5)</w:t>
            </w:r>
          </w:p>
        </w:tc>
        <w:tc>
          <w:tcPr>
            <w:tcW w:w="1102" w:type="pct"/>
            <w:shd w:val="clear" w:color="auto" w:fill="auto"/>
            <w:noWrap/>
          </w:tcPr>
          <w:p w:rsidR="00D170B2" w:rsidRPr="0016122D" w:rsidRDefault="00D170B2" w:rsidP="0082435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6122D">
              <w:rPr>
                <w:rFonts w:ascii="Times New Roman" w:hAnsi="Times New Roman" w:cs="Times New Roman"/>
                <w:lang w:eastAsia="lt-LT"/>
              </w:rPr>
              <w:t>-</w:t>
            </w:r>
          </w:p>
        </w:tc>
      </w:tr>
      <w:tr w:rsidR="00D170B2" w:rsidRPr="0016122D" w:rsidTr="0016122D">
        <w:trPr>
          <w:trHeight w:val="447"/>
        </w:trPr>
        <w:tc>
          <w:tcPr>
            <w:tcW w:w="2278" w:type="pct"/>
            <w:shd w:val="clear" w:color="auto" w:fill="auto"/>
            <w:hideMark/>
          </w:tcPr>
          <w:p w:rsidR="00D170B2" w:rsidRPr="0016122D" w:rsidRDefault="00D170B2" w:rsidP="00824356">
            <w:pPr>
              <w:rPr>
                <w:rFonts w:ascii="Times New Roman" w:hAnsi="Times New Roman" w:cs="Times New Roman"/>
                <w:lang w:eastAsia="lt-LT"/>
              </w:rPr>
            </w:pPr>
            <w:proofErr w:type="spellStart"/>
            <w:r w:rsidRPr="0016122D">
              <w:rPr>
                <w:rFonts w:ascii="Times New Roman" w:hAnsi="Times New Roman" w:cs="Times New Roman"/>
                <w:lang w:eastAsia="lt-LT"/>
              </w:rPr>
              <w:t>Mažiklės</w:t>
            </w:r>
            <w:proofErr w:type="spellEnd"/>
            <w:r w:rsidRPr="0016122D">
              <w:rPr>
                <w:rFonts w:ascii="Times New Roman" w:hAnsi="Times New Roman" w:cs="Times New Roman"/>
                <w:lang w:eastAsia="lt-LT"/>
              </w:rPr>
              <w:t xml:space="preserve"> pusiasalio poilsio zona (Elektrėnų marios)</w:t>
            </w:r>
          </w:p>
        </w:tc>
        <w:tc>
          <w:tcPr>
            <w:tcW w:w="708" w:type="pct"/>
            <w:shd w:val="clear" w:color="auto" w:fill="auto"/>
            <w:noWrap/>
          </w:tcPr>
          <w:p w:rsidR="00D170B2" w:rsidRPr="0016122D" w:rsidRDefault="00D170B2" w:rsidP="0082435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6122D">
              <w:rPr>
                <w:rFonts w:ascii="Times New Roman" w:hAnsi="Times New Roman" w:cs="Times New Roman"/>
                <w:lang w:eastAsia="lt-LT"/>
              </w:rPr>
              <w:t>81±28</w:t>
            </w:r>
          </w:p>
        </w:tc>
        <w:tc>
          <w:tcPr>
            <w:tcW w:w="912" w:type="pct"/>
            <w:shd w:val="clear" w:color="auto" w:fill="auto"/>
            <w:noWrap/>
          </w:tcPr>
          <w:p w:rsidR="00D170B2" w:rsidRPr="0016122D" w:rsidRDefault="00D170B2" w:rsidP="0082435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6122D">
              <w:rPr>
                <w:rFonts w:ascii="Times New Roman" w:hAnsi="Times New Roman" w:cs="Times New Roman"/>
                <w:lang w:eastAsia="lt-LT"/>
              </w:rPr>
              <w:t>61,7 (42,8-85,4)</w:t>
            </w:r>
          </w:p>
        </w:tc>
        <w:tc>
          <w:tcPr>
            <w:tcW w:w="1102" w:type="pct"/>
            <w:shd w:val="clear" w:color="auto" w:fill="auto"/>
            <w:noWrap/>
          </w:tcPr>
          <w:p w:rsidR="00D170B2" w:rsidRPr="0016122D" w:rsidRDefault="00D170B2" w:rsidP="0082435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6122D">
              <w:rPr>
                <w:rFonts w:ascii="Times New Roman" w:hAnsi="Times New Roman" w:cs="Times New Roman"/>
                <w:lang w:eastAsia="lt-LT"/>
              </w:rPr>
              <w:t>-</w:t>
            </w:r>
          </w:p>
        </w:tc>
      </w:tr>
      <w:tr w:rsidR="00D170B2" w:rsidRPr="0016122D" w:rsidTr="0016122D">
        <w:trPr>
          <w:trHeight w:val="255"/>
        </w:trPr>
        <w:tc>
          <w:tcPr>
            <w:tcW w:w="2278" w:type="pct"/>
            <w:shd w:val="clear" w:color="auto" w:fill="auto"/>
            <w:hideMark/>
          </w:tcPr>
          <w:p w:rsidR="00D170B2" w:rsidRPr="0016122D" w:rsidRDefault="00D170B2" w:rsidP="00824356">
            <w:pPr>
              <w:rPr>
                <w:rFonts w:ascii="Times New Roman" w:hAnsi="Times New Roman" w:cs="Times New Roman"/>
                <w:lang w:eastAsia="lt-LT"/>
              </w:rPr>
            </w:pPr>
            <w:r w:rsidRPr="0016122D">
              <w:rPr>
                <w:rFonts w:ascii="Times New Roman" w:hAnsi="Times New Roman" w:cs="Times New Roman"/>
                <w:lang w:eastAsia="lt-LT"/>
              </w:rPr>
              <w:t>Vievio miesto maudykla (Vievio ežeras)</w:t>
            </w:r>
          </w:p>
        </w:tc>
        <w:tc>
          <w:tcPr>
            <w:tcW w:w="708" w:type="pct"/>
            <w:shd w:val="clear" w:color="auto" w:fill="auto"/>
            <w:noWrap/>
          </w:tcPr>
          <w:p w:rsidR="00D170B2" w:rsidRPr="0016122D" w:rsidRDefault="00D170B2" w:rsidP="0082435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6122D">
              <w:rPr>
                <w:rFonts w:ascii="Times New Roman" w:hAnsi="Times New Roman" w:cs="Times New Roman"/>
                <w:lang w:eastAsia="lt-LT"/>
              </w:rPr>
              <w:t>33±14</w:t>
            </w:r>
          </w:p>
        </w:tc>
        <w:tc>
          <w:tcPr>
            <w:tcW w:w="912" w:type="pct"/>
            <w:shd w:val="clear" w:color="auto" w:fill="auto"/>
            <w:noWrap/>
          </w:tcPr>
          <w:p w:rsidR="00D170B2" w:rsidRPr="0016122D" w:rsidRDefault="00D170B2" w:rsidP="0082435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6122D">
              <w:rPr>
                <w:rFonts w:ascii="Times New Roman" w:hAnsi="Times New Roman" w:cs="Times New Roman"/>
                <w:lang w:eastAsia="lt-LT"/>
              </w:rPr>
              <w:t>83,9 (59,8-112,8)</w:t>
            </w:r>
          </w:p>
        </w:tc>
        <w:tc>
          <w:tcPr>
            <w:tcW w:w="1102" w:type="pct"/>
            <w:shd w:val="clear" w:color="auto" w:fill="auto"/>
            <w:noWrap/>
          </w:tcPr>
          <w:p w:rsidR="00D170B2" w:rsidRPr="0016122D" w:rsidRDefault="00D170B2" w:rsidP="0082435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6122D">
              <w:rPr>
                <w:rFonts w:ascii="Times New Roman" w:hAnsi="Times New Roman" w:cs="Times New Roman"/>
                <w:lang w:eastAsia="lt-LT"/>
              </w:rPr>
              <w:t>-</w:t>
            </w:r>
          </w:p>
        </w:tc>
      </w:tr>
      <w:tr w:rsidR="00D170B2" w:rsidRPr="0016122D" w:rsidTr="0016122D">
        <w:trPr>
          <w:trHeight w:val="357"/>
        </w:trPr>
        <w:tc>
          <w:tcPr>
            <w:tcW w:w="2278" w:type="pct"/>
            <w:shd w:val="clear" w:color="auto" w:fill="auto"/>
          </w:tcPr>
          <w:p w:rsidR="00D170B2" w:rsidRPr="0016122D" w:rsidRDefault="00D170B2" w:rsidP="00824356">
            <w:pPr>
              <w:rPr>
                <w:rFonts w:ascii="Times New Roman" w:hAnsi="Times New Roman" w:cs="Times New Roman"/>
                <w:lang w:eastAsia="lt-LT"/>
              </w:rPr>
            </w:pPr>
            <w:r w:rsidRPr="0016122D">
              <w:rPr>
                <w:rFonts w:ascii="Times New Roman" w:hAnsi="Times New Roman" w:cs="Times New Roman"/>
                <w:lang w:eastAsia="lt-LT"/>
              </w:rPr>
              <w:t>Pylimų k. poilsio zona (Vievio ežeras)</w:t>
            </w:r>
          </w:p>
        </w:tc>
        <w:tc>
          <w:tcPr>
            <w:tcW w:w="708" w:type="pct"/>
            <w:shd w:val="clear" w:color="auto" w:fill="auto"/>
          </w:tcPr>
          <w:p w:rsidR="00D170B2" w:rsidRPr="0016122D" w:rsidRDefault="00D170B2" w:rsidP="0082435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6122D">
              <w:rPr>
                <w:rFonts w:ascii="Times New Roman" w:hAnsi="Times New Roman" w:cs="Times New Roman"/>
                <w:lang w:eastAsia="lt-LT"/>
              </w:rPr>
              <w:t>18±10</w:t>
            </w:r>
          </w:p>
        </w:tc>
        <w:tc>
          <w:tcPr>
            <w:tcW w:w="912" w:type="pct"/>
            <w:shd w:val="clear" w:color="auto" w:fill="auto"/>
          </w:tcPr>
          <w:p w:rsidR="00D170B2" w:rsidRPr="0016122D" w:rsidRDefault="00D170B2" w:rsidP="0082435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6122D">
              <w:rPr>
                <w:rFonts w:ascii="Times New Roman" w:hAnsi="Times New Roman" w:cs="Times New Roman"/>
                <w:lang w:eastAsia="lt-LT"/>
              </w:rPr>
              <w:t>95,9 (70,2-127,6)</w:t>
            </w:r>
          </w:p>
        </w:tc>
        <w:tc>
          <w:tcPr>
            <w:tcW w:w="1102" w:type="pct"/>
            <w:shd w:val="clear" w:color="auto" w:fill="auto"/>
            <w:noWrap/>
          </w:tcPr>
          <w:p w:rsidR="00D170B2" w:rsidRPr="0016122D" w:rsidRDefault="00D170B2" w:rsidP="0082435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6122D">
              <w:rPr>
                <w:rFonts w:ascii="Times New Roman" w:hAnsi="Times New Roman" w:cs="Times New Roman"/>
                <w:lang w:eastAsia="lt-LT"/>
              </w:rPr>
              <w:t>-</w:t>
            </w:r>
          </w:p>
        </w:tc>
      </w:tr>
      <w:tr w:rsidR="00D170B2" w:rsidRPr="0016122D" w:rsidTr="0016122D">
        <w:trPr>
          <w:trHeight w:val="285"/>
        </w:trPr>
        <w:tc>
          <w:tcPr>
            <w:tcW w:w="2278" w:type="pct"/>
            <w:shd w:val="clear" w:color="auto" w:fill="auto"/>
          </w:tcPr>
          <w:p w:rsidR="00D170B2" w:rsidRPr="0016122D" w:rsidRDefault="00D170B2" w:rsidP="00824356">
            <w:pPr>
              <w:rPr>
                <w:rFonts w:ascii="Times New Roman" w:hAnsi="Times New Roman" w:cs="Times New Roman"/>
                <w:lang w:eastAsia="lt-LT"/>
              </w:rPr>
            </w:pPr>
            <w:r w:rsidRPr="0016122D">
              <w:rPr>
                <w:rFonts w:ascii="Times New Roman" w:hAnsi="Times New Roman" w:cs="Times New Roman"/>
                <w:lang w:eastAsia="lt-LT"/>
              </w:rPr>
              <w:t>Kietaviškių poilsio zona (</w:t>
            </w:r>
            <w:proofErr w:type="spellStart"/>
            <w:r w:rsidRPr="0016122D">
              <w:rPr>
                <w:rFonts w:ascii="Times New Roman" w:hAnsi="Times New Roman" w:cs="Times New Roman"/>
                <w:lang w:eastAsia="lt-LT"/>
              </w:rPr>
              <w:t>Aujėdo</w:t>
            </w:r>
            <w:proofErr w:type="spellEnd"/>
            <w:r w:rsidRPr="0016122D">
              <w:rPr>
                <w:rFonts w:ascii="Times New Roman" w:hAnsi="Times New Roman" w:cs="Times New Roman"/>
                <w:lang w:eastAsia="lt-LT"/>
              </w:rPr>
              <w:t xml:space="preserve"> ežeras)</w:t>
            </w:r>
          </w:p>
        </w:tc>
        <w:tc>
          <w:tcPr>
            <w:tcW w:w="708" w:type="pct"/>
            <w:shd w:val="clear" w:color="auto" w:fill="auto"/>
            <w:noWrap/>
          </w:tcPr>
          <w:p w:rsidR="00D170B2" w:rsidRPr="0016122D" w:rsidRDefault="00D170B2" w:rsidP="00824356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16122D">
              <w:rPr>
                <w:rFonts w:ascii="Times New Roman" w:hAnsi="Times New Roman" w:cs="Times New Roman"/>
                <w:lang w:eastAsia="lt-LT"/>
              </w:rPr>
              <w:t>23±11</w:t>
            </w:r>
          </w:p>
        </w:tc>
        <w:tc>
          <w:tcPr>
            <w:tcW w:w="912" w:type="pct"/>
            <w:shd w:val="clear" w:color="auto" w:fill="auto"/>
            <w:noWrap/>
          </w:tcPr>
          <w:p w:rsidR="00D170B2" w:rsidRPr="0016122D" w:rsidRDefault="00D170B2" w:rsidP="0082435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6122D">
              <w:rPr>
                <w:rFonts w:ascii="Times New Roman" w:hAnsi="Times New Roman" w:cs="Times New Roman"/>
                <w:lang w:eastAsia="lt-LT"/>
              </w:rPr>
              <w:t>22,6 (13,9-34,5)</w:t>
            </w:r>
          </w:p>
        </w:tc>
        <w:tc>
          <w:tcPr>
            <w:tcW w:w="1102" w:type="pct"/>
            <w:shd w:val="clear" w:color="auto" w:fill="auto"/>
            <w:noWrap/>
          </w:tcPr>
          <w:p w:rsidR="00D170B2" w:rsidRPr="0016122D" w:rsidRDefault="00D170B2" w:rsidP="0082435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6122D">
              <w:rPr>
                <w:rFonts w:ascii="Times New Roman" w:hAnsi="Times New Roman" w:cs="Times New Roman"/>
                <w:lang w:eastAsia="lt-LT"/>
              </w:rPr>
              <w:t>-</w:t>
            </w:r>
          </w:p>
        </w:tc>
      </w:tr>
      <w:tr w:rsidR="00D170B2" w:rsidRPr="0016122D" w:rsidTr="0016122D">
        <w:trPr>
          <w:trHeight w:val="240"/>
        </w:trPr>
        <w:tc>
          <w:tcPr>
            <w:tcW w:w="2278" w:type="pct"/>
            <w:shd w:val="clear" w:color="auto" w:fill="auto"/>
            <w:hideMark/>
          </w:tcPr>
          <w:p w:rsidR="00D170B2" w:rsidRPr="0016122D" w:rsidRDefault="00D170B2" w:rsidP="00824356">
            <w:pPr>
              <w:rPr>
                <w:rFonts w:ascii="Times New Roman" w:hAnsi="Times New Roman" w:cs="Times New Roman"/>
                <w:lang w:eastAsia="lt-LT"/>
              </w:rPr>
            </w:pPr>
            <w:r w:rsidRPr="0016122D">
              <w:rPr>
                <w:rFonts w:ascii="Times New Roman" w:hAnsi="Times New Roman" w:cs="Times New Roman"/>
                <w:lang w:eastAsia="lt-LT"/>
              </w:rPr>
              <w:t>Semeliškių poilsio zona (</w:t>
            </w:r>
            <w:proofErr w:type="spellStart"/>
            <w:r w:rsidRPr="0016122D">
              <w:rPr>
                <w:rFonts w:ascii="Times New Roman" w:hAnsi="Times New Roman" w:cs="Times New Roman"/>
                <w:lang w:eastAsia="lt-LT"/>
              </w:rPr>
              <w:t>Nestrėvaičio</w:t>
            </w:r>
            <w:proofErr w:type="spellEnd"/>
            <w:r w:rsidRPr="0016122D">
              <w:rPr>
                <w:rFonts w:ascii="Times New Roman" w:hAnsi="Times New Roman" w:cs="Times New Roman"/>
                <w:lang w:eastAsia="lt-LT"/>
              </w:rPr>
              <w:t xml:space="preserve"> ežeras)</w:t>
            </w:r>
          </w:p>
        </w:tc>
        <w:tc>
          <w:tcPr>
            <w:tcW w:w="708" w:type="pct"/>
            <w:shd w:val="clear" w:color="auto" w:fill="auto"/>
          </w:tcPr>
          <w:p w:rsidR="00D170B2" w:rsidRPr="0016122D" w:rsidRDefault="00D170B2" w:rsidP="0082435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6122D">
              <w:rPr>
                <w:rFonts w:ascii="Times New Roman" w:hAnsi="Times New Roman" w:cs="Times New Roman"/>
                <w:lang w:eastAsia="lt-LT"/>
              </w:rPr>
              <w:t>5±5</w:t>
            </w:r>
          </w:p>
        </w:tc>
        <w:tc>
          <w:tcPr>
            <w:tcW w:w="912" w:type="pct"/>
            <w:shd w:val="clear" w:color="auto" w:fill="auto"/>
            <w:noWrap/>
          </w:tcPr>
          <w:p w:rsidR="00D170B2" w:rsidRPr="0016122D" w:rsidRDefault="00D170B2" w:rsidP="0082435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6122D">
              <w:rPr>
                <w:rFonts w:ascii="Times New Roman" w:hAnsi="Times New Roman" w:cs="Times New Roman"/>
                <w:lang w:eastAsia="lt-LT"/>
              </w:rPr>
              <w:t>&lt;1,0 (0,0-3,7)</w:t>
            </w:r>
          </w:p>
        </w:tc>
        <w:tc>
          <w:tcPr>
            <w:tcW w:w="1102" w:type="pct"/>
            <w:shd w:val="clear" w:color="auto" w:fill="auto"/>
            <w:noWrap/>
          </w:tcPr>
          <w:p w:rsidR="00D170B2" w:rsidRPr="0016122D" w:rsidRDefault="00D170B2" w:rsidP="0082435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6122D">
              <w:rPr>
                <w:rFonts w:ascii="Times New Roman" w:hAnsi="Times New Roman" w:cs="Times New Roman"/>
                <w:lang w:eastAsia="lt-LT"/>
              </w:rPr>
              <w:t>-</w:t>
            </w:r>
          </w:p>
        </w:tc>
      </w:tr>
      <w:tr w:rsidR="00D170B2" w:rsidRPr="0016122D" w:rsidTr="0016122D">
        <w:trPr>
          <w:trHeight w:val="180"/>
        </w:trPr>
        <w:tc>
          <w:tcPr>
            <w:tcW w:w="2278" w:type="pct"/>
            <w:shd w:val="clear" w:color="auto" w:fill="auto"/>
            <w:hideMark/>
          </w:tcPr>
          <w:p w:rsidR="00D170B2" w:rsidRPr="0016122D" w:rsidRDefault="00D170B2" w:rsidP="00824356">
            <w:pPr>
              <w:rPr>
                <w:rFonts w:ascii="Times New Roman" w:hAnsi="Times New Roman" w:cs="Times New Roman"/>
                <w:lang w:eastAsia="lt-LT"/>
              </w:rPr>
            </w:pPr>
            <w:proofErr w:type="spellStart"/>
            <w:r w:rsidRPr="0016122D">
              <w:rPr>
                <w:rFonts w:ascii="Times New Roman" w:hAnsi="Times New Roman" w:cs="Times New Roman"/>
                <w:lang w:eastAsia="lt-LT"/>
              </w:rPr>
              <w:t>Pastrėvio</w:t>
            </w:r>
            <w:proofErr w:type="spellEnd"/>
            <w:r w:rsidRPr="0016122D">
              <w:rPr>
                <w:rFonts w:ascii="Times New Roman" w:hAnsi="Times New Roman" w:cs="Times New Roman"/>
                <w:lang w:eastAsia="lt-LT"/>
              </w:rPr>
              <w:t xml:space="preserve"> k. poilsio zona (Elektrėnų marios)</w:t>
            </w:r>
          </w:p>
        </w:tc>
        <w:tc>
          <w:tcPr>
            <w:tcW w:w="708" w:type="pct"/>
            <w:shd w:val="clear" w:color="auto" w:fill="auto"/>
          </w:tcPr>
          <w:p w:rsidR="00D170B2" w:rsidRPr="0016122D" w:rsidRDefault="00D170B2" w:rsidP="00824356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16122D">
              <w:rPr>
                <w:rFonts w:ascii="Times New Roman" w:hAnsi="Times New Roman" w:cs="Times New Roman"/>
                <w:b/>
                <w:bCs/>
                <w:lang w:eastAsia="lt-LT"/>
              </w:rPr>
              <w:t>2x10² (1,0 x10²)</w:t>
            </w:r>
          </w:p>
        </w:tc>
        <w:tc>
          <w:tcPr>
            <w:tcW w:w="912" w:type="pct"/>
            <w:shd w:val="clear" w:color="auto" w:fill="auto"/>
            <w:noWrap/>
          </w:tcPr>
          <w:p w:rsidR="00D170B2" w:rsidRPr="0016122D" w:rsidRDefault="00D170B2" w:rsidP="0082435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6122D">
              <w:rPr>
                <w:rFonts w:ascii="Times New Roman" w:hAnsi="Times New Roman" w:cs="Times New Roman"/>
                <w:lang w:eastAsia="lt-LT"/>
              </w:rPr>
              <w:t>67,0 (47,7-91,5)</w:t>
            </w:r>
          </w:p>
        </w:tc>
        <w:tc>
          <w:tcPr>
            <w:tcW w:w="1102" w:type="pct"/>
            <w:shd w:val="clear" w:color="auto" w:fill="auto"/>
            <w:noWrap/>
          </w:tcPr>
          <w:p w:rsidR="00D170B2" w:rsidRPr="0016122D" w:rsidRDefault="00D170B2" w:rsidP="0082435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6122D">
              <w:rPr>
                <w:rFonts w:ascii="Times New Roman" w:hAnsi="Times New Roman" w:cs="Times New Roman"/>
                <w:lang w:eastAsia="lt-LT"/>
              </w:rPr>
              <w:t>-</w:t>
            </w:r>
          </w:p>
        </w:tc>
      </w:tr>
    </w:tbl>
    <w:p w:rsidR="0016122D" w:rsidRPr="0016122D" w:rsidRDefault="0016122D" w:rsidP="00F304D0">
      <w:pPr>
        <w:pStyle w:val="prastasiniatinklio"/>
        <w:spacing w:line="276" w:lineRule="auto"/>
        <w:ind w:firstLine="567"/>
        <w:jc w:val="both"/>
      </w:pPr>
      <w:r w:rsidRPr="0016122D">
        <w:t xml:space="preserve">2019 m. rugpjūčio 9 d. buvo paimti paplūdimio smėlio mėginiai dėl žmogui patogeninių </w:t>
      </w:r>
      <w:proofErr w:type="spellStart"/>
      <w:r w:rsidRPr="0016122D">
        <w:t>helmintų</w:t>
      </w:r>
      <w:proofErr w:type="spellEnd"/>
      <w:r w:rsidRPr="0016122D">
        <w:t xml:space="preserve"> ir jų kiaušinėlių ištyrimo iš stebimos Elektrėnų miesto maudyklos paplūdimio. Gauti smėlio parazitologiniai tyrimų rezultatai parodė, kad smėlio kokybė atitinka higienos normos reikalavimus (žmogui patogeninių kirminų kiaušinėlių ir jų lervų nerasta). </w:t>
      </w:r>
    </w:p>
    <w:p w:rsidR="00D170B2" w:rsidRPr="0016122D" w:rsidRDefault="00D170B2" w:rsidP="001612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122D">
        <w:rPr>
          <w:rFonts w:ascii="Times New Roman" w:hAnsi="Times New Roman" w:cs="Times New Roman"/>
          <w:i/>
          <w:iCs/>
          <w:sz w:val="24"/>
          <w:szCs w:val="24"/>
        </w:rPr>
        <w:t>Elektrėnų savivaldybės administracijos informacija</w:t>
      </w:r>
    </w:p>
    <w:sectPr w:rsidR="00D170B2" w:rsidRPr="0016122D" w:rsidSect="0016122D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0B2"/>
    <w:rsid w:val="0016122D"/>
    <w:rsid w:val="001C42C0"/>
    <w:rsid w:val="00C94527"/>
    <w:rsid w:val="00D170B2"/>
    <w:rsid w:val="00F3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2EBEF-A3D0-423C-9276-09528DBA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D170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170B2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posted-on">
    <w:name w:val="posted-on"/>
    <w:basedOn w:val="Numatytasispastraiposriftas"/>
    <w:rsid w:val="00D170B2"/>
  </w:style>
  <w:style w:type="character" w:styleId="Hipersaitas">
    <w:name w:val="Hyperlink"/>
    <w:basedOn w:val="Numatytasispastraiposriftas"/>
    <w:uiPriority w:val="99"/>
    <w:semiHidden/>
    <w:unhideWhenUsed/>
    <w:rsid w:val="00D170B2"/>
    <w:rPr>
      <w:color w:val="0000FF"/>
      <w:u w:val="single"/>
    </w:rPr>
  </w:style>
  <w:style w:type="character" w:customStyle="1" w:styleId="byline">
    <w:name w:val="byline"/>
    <w:basedOn w:val="Numatytasispastraiposriftas"/>
    <w:rsid w:val="00D170B2"/>
  </w:style>
  <w:style w:type="character" w:customStyle="1" w:styleId="author">
    <w:name w:val="author"/>
    <w:basedOn w:val="Numatytasispastraiposriftas"/>
    <w:rsid w:val="00D170B2"/>
  </w:style>
  <w:style w:type="paragraph" w:styleId="prastasiniatinklio">
    <w:name w:val="Normal (Web)"/>
    <w:basedOn w:val="prastasis"/>
    <w:uiPriority w:val="99"/>
    <w:unhideWhenUsed/>
    <w:rsid w:val="00D1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D170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1452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administratore</cp:lastModifiedBy>
  <cp:revision>5</cp:revision>
  <dcterms:created xsi:type="dcterms:W3CDTF">2019-08-12T13:40:00Z</dcterms:created>
  <dcterms:modified xsi:type="dcterms:W3CDTF">2019-08-13T06:32:00Z</dcterms:modified>
</cp:coreProperties>
</file>